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0" w:rsidRDefault="001D36B0" w:rsidP="0019084E">
      <w:pPr>
        <w:jc w:val="center"/>
      </w:pPr>
    </w:p>
    <w:p w:rsidR="00010969" w:rsidRDefault="00562EEB" w:rsidP="00562EEB">
      <w:pPr>
        <w:jc w:val="center"/>
      </w:pPr>
      <w:r>
        <w:t>Zvolte jednu z možností:</w:t>
      </w:r>
      <w:r w:rsidR="00E84611">
        <w:tab/>
      </w:r>
      <w:r w:rsidR="00E84611">
        <w:tab/>
      </w:r>
      <w:sdt>
        <w:sdtPr>
          <w:alias w:val="SPLNĚNÍ"/>
          <w:tag w:val="SPLNĚNÍ"/>
          <w:id w:val="18905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11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E84611">
        <w:rPr>
          <w:b/>
        </w:rPr>
        <w:t>SPLNĚNÍ</w:t>
      </w:r>
      <w:r w:rsidR="0019084E">
        <w:rPr>
          <w:b/>
        </w:rPr>
        <w:tab/>
      </w:r>
      <w:r w:rsidR="00E84611">
        <w:rPr>
          <w:b/>
        </w:rPr>
        <w:tab/>
      </w:r>
      <w:r w:rsidR="0019084E">
        <w:rPr>
          <w:b/>
        </w:rPr>
        <w:tab/>
      </w:r>
      <w:sdt>
        <w:sdtPr>
          <w:alias w:val="ZÁNIK"/>
          <w:tag w:val="ZÁNIK"/>
          <w:id w:val="-11243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E84611">
        <w:rPr>
          <w:b/>
        </w:rPr>
        <w:t>ZÁNIK</w:t>
      </w:r>
    </w:p>
    <w:p w:rsidR="00105F6F" w:rsidRDefault="00A741A4" w:rsidP="000109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C7B8C">
        <w:t>vyplňte všechny</w:t>
      </w:r>
      <w:r w:rsidR="000653D1">
        <w:t xml:space="preserve"> povinné</w:t>
      </w:r>
      <w:r w:rsidR="00FC7B8C">
        <w:t xml:space="preserve"> body</w:t>
      </w:r>
      <w:r w:rsidR="00FC7B8C">
        <w:tab/>
      </w:r>
      <w:r>
        <w:t xml:space="preserve">       </w:t>
      </w:r>
      <w:r w:rsidR="00FC7B8C">
        <w:t>vyplňte bod 1</w:t>
      </w:r>
      <w:r w:rsidR="00B1525A">
        <w:t>,</w:t>
      </w:r>
      <w:r w:rsidR="00E04C6D">
        <w:t xml:space="preserve"> případně </w:t>
      </w:r>
      <w:r w:rsidR="008144DB">
        <w:t>i</w:t>
      </w:r>
      <w:r w:rsidR="008C40CF">
        <w:t xml:space="preserve"> 1.A</w:t>
      </w:r>
      <w:bookmarkStart w:id="0" w:name="_GoBack"/>
      <w:bookmarkEnd w:id="0"/>
    </w:p>
    <w:p w:rsidR="00FC7B8C" w:rsidRDefault="00FC7B8C" w:rsidP="00010969"/>
    <w:p w:rsidR="00010969" w:rsidRPr="00992EAE" w:rsidRDefault="00152684" w:rsidP="002478DA">
      <w:pPr>
        <w:jc w:val="both"/>
        <w:rPr>
          <w:b/>
        </w:rPr>
      </w:pPr>
      <w:r w:rsidRPr="00152684">
        <w:rPr>
          <w:b/>
        </w:rPr>
        <w:t>Poplatníci hradící poplatek prostřednictvím služby SIPO oznamují splnění/zánik podmínek pro osvobození fyzické osoby od</w:t>
      </w:r>
      <w:r>
        <w:rPr>
          <w:b/>
        </w:rPr>
        <w:t xml:space="preserve"> placení</w:t>
      </w:r>
      <w:r w:rsidRPr="00152684">
        <w:rPr>
          <w:b/>
        </w:rPr>
        <w:t xml:space="preserve"> rozhlasového poplatku na kterékoliv pobočce České pošty.</w:t>
      </w:r>
    </w:p>
    <w:p w:rsidR="00010969" w:rsidRDefault="00010969" w:rsidP="00010969"/>
    <w:p w:rsidR="00010969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010969" w:rsidRDefault="00E84611" w:rsidP="001557B5">
      <w:pPr>
        <w:pStyle w:val="FormRowB"/>
      </w:pPr>
      <w:r>
        <w:t>Jméno:</w:t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  <w:t>Příjmení</w:t>
      </w:r>
      <w:r w:rsidR="009D213B">
        <w:t>:</w:t>
      </w:r>
    </w:p>
    <w:tbl>
      <w:tblPr>
        <w:tblStyle w:val="Mkatabulky"/>
        <w:tblpPr w:vertAnchor="text" w:horzAnchor="margin" w:tblpXSpec="right" w:tblpY="-14"/>
        <w:tblW w:w="45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  <w:gridCol w:w="456"/>
        <w:gridCol w:w="456"/>
        <w:gridCol w:w="456"/>
      </w:tblGrid>
      <w:tr w:rsidR="001D36B0" w:rsidTr="00EF6B14">
        <w:trPr>
          <w:trHeight w:val="457"/>
        </w:trPr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</w:tr>
    </w:tbl>
    <w:p w:rsidR="00010969" w:rsidRDefault="00010969" w:rsidP="00010969"/>
    <w:p w:rsidR="00010969" w:rsidRDefault="001557B5" w:rsidP="00E24FAA">
      <w:pPr>
        <w:pStyle w:val="FormRowB"/>
      </w:pPr>
      <w:r>
        <w:t xml:space="preserve">Datum narození </w:t>
      </w:r>
      <w:r>
        <w:rPr>
          <w:i/>
        </w:rPr>
        <w:t>(</w:t>
      </w:r>
      <w:proofErr w:type="spellStart"/>
      <w:proofErr w:type="gramStart"/>
      <w:r>
        <w:rPr>
          <w:i/>
        </w:rPr>
        <w:t>dd.mm</w:t>
      </w:r>
      <w:proofErr w:type="gramEnd"/>
      <w:r>
        <w:rPr>
          <w:i/>
        </w:rPr>
        <w:t>.rr</w:t>
      </w:r>
      <w:r w:rsidR="0076690F">
        <w:rPr>
          <w:i/>
        </w:rPr>
        <w:t>r</w:t>
      </w:r>
      <w:r>
        <w:rPr>
          <w:i/>
        </w:rPr>
        <w:t>r</w:t>
      </w:r>
      <w:proofErr w:type="spellEnd"/>
      <w:r>
        <w:rPr>
          <w:i/>
        </w:rPr>
        <w:t>)</w:t>
      </w:r>
      <w:r>
        <w:t>:</w:t>
      </w:r>
      <w:r w:rsidR="00E24FAA">
        <w:tab/>
      </w:r>
      <w:r w:rsidR="00E24FAA">
        <w:tab/>
      </w:r>
      <w:r w:rsidR="00E24FAA">
        <w:tab/>
      </w:r>
      <w:r w:rsidR="00E24FAA">
        <w:tab/>
      </w:r>
      <w:r w:rsidR="009877AD">
        <w:tab/>
      </w:r>
      <w:r w:rsidR="009D213B" w:rsidRPr="009D213B">
        <w:t>Variabilní symbol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D2512A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3C6EC3" w:rsidRPr="00884BE5" w:rsidRDefault="003C6EC3" w:rsidP="003C6EC3">
      <w:pPr>
        <w:pStyle w:val="FormHeader"/>
      </w:pPr>
      <w:proofErr w:type="gramStart"/>
      <w:r>
        <w:t>1.A – Kontaktní</w:t>
      </w:r>
      <w:proofErr w:type="gramEnd"/>
      <w:r>
        <w:t xml:space="preserve"> údaje poplatníka </w:t>
      </w:r>
      <w:r w:rsidRPr="00884BE5">
        <w:t>(nepovinné)</w:t>
      </w:r>
    </w:p>
    <w:p w:rsidR="003C6EC3" w:rsidRDefault="003C6EC3" w:rsidP="003C6EC3"/>
    <w:p w:rsidR="003C6EC3" w:rsidRDefault="003C6EC3" w:rsidP="005B6C2C">
      <w:pPr>
        <w:pStyle w:val="FormRowB"/>
        <w:pBdr>
          <w:bottom w:val="none" w:sz="0" w:space="0" w:color="auto"/>
        </w:pBdr>
      </w:pPr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Mobilní telefon:</w:t>
      </w:r>
    </w:p>
    <w:p w:rsidR="003C6EC3" w:rsidRDefault="003C6EC3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</w:t>
      </w:r>
      <w:r w:rsidR="00E84611">
        <w:t>Čistý příjem domácnosti</w:t>
      </w:r>
    </w:p>
    <w:p w:rsidR="00010969" w:rsidRDefault="00010969" w:rsidP="00010969"/>
    <w:p w:rsidR="00E84611" w:rsidRDefault="00E84611" w:rsidP="00010969">
      <w:r w:rsidRPr="00E84611">
        <w:t xml:space="preserve">Uveďte čistý příjem domácnosti </w:t>
      </w:r>
      <w:r w:rsidRPr="00E84611">
        <w:rPr>
          <w:b/>
        </w:rPr>
        <w:t>za poslední kalendářní čtvrtletí</w:t>
      </w:r>
      <w:r w:rsidRPr="00E84611">
        <w:t xml:space="preserve"> (popř. ¼ čistého ročního příjmu pro OSVČ)</w:t>
      </w:r>
      <w:r>
        <w:t>:</w:t>
      </w:r>
      <w:r>
        <w:tab/>
      </w:r>
      <w:r>
        <w:tab/>
      </w:r>
      <w:r>
        <w:tab/>
      </w:r>
      <w:r>
        <w:tab/>
        <w:t>Kč / čtvrtletí</w:t>
      </w:r>
    </w:p>
    <w:p w:rsidR="00E84611" w:rsidRDefault="00E84611" w:rsidP="00010969"/>
    <w:p w:rsidR="00010969" w:rsidRDefault="00675DA1" w:rsidP="00E84611">
      <w:pPr>
        <w:pStyle w:val="FormHeader"/>
      </w:pPr>
      <w:r>
        <w:t>3</w:t>
      </w:r>
      <w:r w:rsidR="00D647B6">
        <w:t xml:space="preserve"> – </w:t>
      </w:r>
      <w:r w:rsidR="00E84611" w:rsidRPr="00E84611">
        <w:t>Složení domácnosti s výpočtem životního minima</w:t>
      </w:r>
    </w:p>
    <w:tbl>
      <w:tblPr>
        <w:tblStyle w:val="Mkatabulky"/>
        <w:tblpPr w:vertAnchor="text" w:horzAnchor="margin" w:tblpXSpec="right" w:tblpY="1"/>
        <w:tblW w:w="3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536D7E" w:rsidTr="00536D7E">
        <w:trPr>
          <w:trHeight w:val="317"/>
        </w:trPr>
        <w:tc>
          <w:tcPr>
            <w:tcW w:w="3145" w:type="dxa"/>
            <w:noWrap/>
            <w:vAlign w:val="center"/>
          </w:tcPr>
          <w:p w:rsidR="00536D7E" w:rsidRDefault="00536D7E" w:rsidP="00536D7E">
            <w:pPr>
              <w:jc w:val="right"/>
            </w:pPr>
            <w:r>
              <w:t>4 860 Kč</w:t>
            </w:r>
          </w:p>
        </w:tc>
      </w:tr>
    </w:tbl>
    <w:p w:rsidR="00E84611" w:rsidRPr="00536D7E" w:rsidRDefault="00E84611" w:rsidP="00536D7E">
      <w:pPr>
        <w:pStyle w:val="Odstavecseseznamem"/>
        <w:numPr>
          <w:ilvl w:val="0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 xml:space="preserve">poplatník žije </w:t>
      </w:r>
      <w:r>
        <w:rPr>
          <w:rFonts w:cs="Arial"/>
          <w:szCs w:val="16"/>
        </w:rPr>
        <w:t>v domácnosti jako osoba osamělá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 w:rsidR="003C6EC3">
        <w:rPr>
          <w:rFonts w:cs="Arial"/>
          <w:szCs w:val="16"/>
        </w:rPr>
        <w:t xml:space="preserve">  </w:t>
      </w:r>
      <w:r w:rsidR="00536D7E">
        <w:rPr>
          <w:rFonts w:cs="Arial"/>
          <w:szCs w:val="16"/>
        </w:rPr>
        <w:t>měsíční životní minimum</w:t>
      </w:r>
    </w:p>
    <w:tbl>
      <w:tblPr>
        <w:tblpPr w:vertAnchor="page" w:horzAnchor="margin" w:tblpXSpec="right" w:tblpY="7707"/>
        <w:tblW w:w="50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3137"/>
      </w:tblGrid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4 470 </w:t>
            </w:r>
            <w:r w:rsidRPr="00A10DFF">
              <w:rPr>
                <w:rFonts w:cs="Arial"/>
                <w:color w:val="000000"/>
                <w:szCs w:val="16"/>
              </w:rPr>
              <w:t>Kč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4 040</w:t>
            </w:r>
            <w:r w:rsidRPr="00A10DFF">
              <w:rPr>
                <w:rFonts w:cs="Arial"/>
                <w:color w:val="000000"/>
                <w:szCs w:val="16"/>
              </w:rPr>
              <w:t xml:space="preserve"> =</w:t>
            </w:r>
            <w:r>
              <w:rPr>
                <w:rFonts w:cs="Arial"/>
                <w:color w:val="000000"/>
                <w:szCs w:val="16"/>
              </w:rPr>
              <w:t xml:space="preserve">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2 480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3 050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3 490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měsíční životní</w:t>
            </w:r>
            <w:r w:rsidRPr="00A10DFF">
              <w:rPr>
                <w:rFonts w:cs="Arial"/>
                <w:color w:val="000000"/>
                <w:szCs w:val="16"/>
              </w:rPr>
              <w:t xml:space="preserve"> minimum:                 </w:t>
            </w:r>
            <w:r>
              <w:rPr>
                <w:rFonts w:cs="Arial"/>
                <w:color w:val="000000"/>
                <w:szCs w:val="16"/>
              </w:rPr>
              <w:t xml:space="preserve">                            </w:t>
            </w:r>
            <w:r w:rsidRPr="00A10DFF">
              <w:rPr>
                <w:rFonts w:cs="Arial"/>
                <w:color w:val="000000"/>
                <w:szCs w:val="16"/>
              </w:rPr>
              <w:t xml:space="preserve">               Kč***</w:t>
            </w:r>
          </w:p>
        </w:tc>
      </w:tr>
    </w:tbl>
    <w:p w:rsidR="00E84611" w:rsidRDefault="00E84611" w:rsidP="00E84611">
      <w:pPr>
        <w:pStyle w:val="Odstavecseseznamem"/>
        <w:numPr>
          <w:ilvl w:val="0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poplatník žije v domácnosti společně s dalšími osobami:</w:t>
      </w:r>
    </w:p>
    <w:p w:rsidR="00E84611" w:rsidRPr="00A10DFF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první osoba v</w:t>
      </w:r>
      <w:r>
        <w:rPr>
          <w:rFonts w:cs="Arial"/>
          <w:szCs w:val="16"/>
        </w:rPr>
        <w:t> </w:t>
      </w:r>
      <w:r w:rsidRPr="0062177F">
        <w:rPr>
          <w:rFonts w:cs="Arial"/>
          <w:szCs w:val="16"/>
        </w:rPr>
        <w:t>domácnosti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druhá a případně další dospělá osoba/y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děti do 6 let věku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děti od 6 do 15 let věku</w:t>
      </w:r>
      <w:r>
        <w:rPr>
          <w:rFonts w:cs="Arial"/>
          <w:szCs w:val="16"/>
        </w:rPr>
        <w:br/>
      </w:r>
    </w:p>
    <w:p w:rsidR="00E84611" w:rsidRPr="0062177F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ED6C26">
        <w:rPr>
          <w:rFonts w:cs="Arial"/>
          <w:szCs w:val="16"/>
        </w:rPr>
        <w:t>nezaopatřené děti od 15 do 26 let věku</w:t>
      </w:r>
      <w:r>
        <w:rPr>
          <w:rFonts w:cs="Arial"/>
          <w:szCs w:val="16"/>
        </w:rPr>
        <w:br/>
      </w:r>
    </w:p>
    <w:p w:rsidR="00010969" w:rsidRDefault="00536D7E" w:rsidP="00E84611">
      <w:pPr>
        <w:rPr>
          <w:rFonts w:cs="Arial"/>
          <w:szCs w:val="16"/>
        </w:rPr>
      </w:pPr>
      <w:r>
        <w:rPr>
          <w:rFonts w:cs="Arial"/>
          <w:szCs w:val="16"/>
        </w:rPr>
        <w:t xml:space="preserve">*) </w:t>
      </w:r>
      <w:r w:rsidR="00E84611" w:rsidRPr="00ED6C26">
        <w:rPr>
          <w:rFonts w:cs="Arial"/>
          <w:szCs w:val="16"/>
        </w:rPr>
        <w:t>Ponechte číslovku, která odpovídá počtu</w:t>
      </w:r>
      <w:r>
        <w:rPr>
          <w:rFonts w:cs="Arial"/>
          <w:szCs w:val="16"/>
        </w:rPr>
        <w:t xml:space="preserve"> daných osob v domácnosti. </w:t>
      </w:r>
      <w:r>
        <w:rPr>
          <w:rFonts w:cs="Arial"/>
          <w:szCs w:val="16"/>
        </w:rPr>
        <w:br/>
        <w:t xml:space="preserve">**) </w:t>
      </w:r>
      <w:r w:rsidR="00E84611" w:rsidRPr="00ED6C26">
        <w:rPr>
          <w:rFonts w:cs="Arial"/>
          <w:szCs w:val="16"/>
        </w:rPr>
        <w:t>Násobte počet osob uvedenou částkou.</w:t>
      </w:r>
      <w:r w:rsidR="00E84611" w:rsidRPr="00ED6C26">
        <w:rPr>
          <w:rFonts w:cs="Arial"/>
          <w:szCs w:val="16"/>
        </w:rPr>
        <w:br/>
        <w:t>***) Sečtěte hodnoty ve sloupci, čímž je spočítáno celkové životní měsíční minimum domácnosti.</w:t>
      </w:r>
    </w:p>
    <w:p w:rsidR="009D5F15" w:rsidRDefault="009D5F15" w:rsidP="00E84611"/>
    <w:p w:rsidR="00010969" w:rsidRDefault="00D647B6" w:rsidP="00D647B6">
      <w:pPr>
        <w:pStyle w:val="FormHeader"/>
      </w:pPr>
      <w:r>
        <w:t xml:space="preserve">4 – </w:t>
      </w:r>
      <w:r w:rsidR="009D5F15" w:rsidRPr="009D5F15">
        <w:t>Výpočet nejvyšší část</w:t>
      </w:r>
      <w:r w:rsidR="003C6EC3">
        <w:t>ky příjmů pro osvobození ze sociálních</w:t>
      </w:r>
      <w:r w:rsidR="009D5F15" w:rsidRPr="009D5F15">
        <w:t xml:space="preserve"> důvodů – ověření nároku na osvobození</w:t>
      </w:r>
    </w:p>
    <w:p w:rsidR="0056586F" w:rsidRDefault="0056586F" w:rsidP="00FA059F">
      <w:pPr>
        <w:jc w:val="both"/>
      </w:pPr>
    </w:p>
    <w:tbl>
      <w:tblPr>
        <w:tblW w:w="500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9"/>
        <w:gridCol w:w="3116"/>
      </w:tblGrid>
      <w:tr w:rsidR="003C6EC3" w:rsidRPr="00ED6C26" w:rsidTr="00A87E77">
        <w:trPr>
          <w:cantSplit/>
          <w:trHeight w:val="282"/>
        </w:trPr>
        <w:tc>
          <w:tcPr>
            <w:tcW w:w="355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C6EC3" w:rsidRPr="00ED6C26" w:rsidRDefault="003C6EC3" w:rsidP="003C6EC3">
            <w:pPr>
              <w:rPr>
                <w:rFonts w:cs="Arial"/>
                <w:szCs w:val="16"/>
              </w:rPr>
            </w:pPr>
            <w:r w:rsidRPr="00ED6C26">
              <w:rPr>
                <w:rFonts w:cs="Arial"/>
                <w:szCs w:val="16"/>
              </w:rPr>
              <w:t>Nejvyšší částka příjmů pro osvobození ze sociálních důvodů:</w:t>
            </w:r>
            <w:r w:rsidRPr="00ED6C26">
              <w:rPr>
                <w:rFonts w:cs="Arial"/>
                <w:szCs w:val="16"/>
              </w:rPr>
              <w:br/>
              <w:t>(měsíční životní minimum tj. výsledek předch</w:t>
            </w:r>
            <w:r>
              <w:rPr>
                <w:rFonts w:cs="Arial"/>
                <w:szCs w:val="16"/>
              </w:rPr>
              <w:t xml:space="preserve">ozího odstavce </w:t>
            </w:r>
            <w:r>
              <w:rPr>
                <w:rFonts w:cs="Arial"/>
                <w:color w:val="000000"/>
                <w:szCs w:val="16"/>
              </w:rPr>
              <w:t>×</w:t>
            </w:r>
            <w:r>
              <w:rPr>
                <w:rFonts w:cs="Arial"/>
                <w:szCs w:val="16"/>
              </w:rPr>
              <w:t xml:space="preserve"> 3 </w:t>
            </w:r>
            <w:r>
              <w:rPr>
                <w:rFonts w:cs="Arial"/>
                <w:color w:val="000000"/>
                <w:szCs w:val="16"/>
              </w:rPr>
              <w:t>×</w:t>
            </w:r>
            <w:r w:rsidRPr="00ED6C26">
              <w:rPr>
                <w:rFonts w:cs="Arial"/>
                <w:szCs w:val="16"/>
              </w:rPr>
              <w:t xml:space="preserve"> 2,15)</w:t>
            </w:r>
          </w:p>
        </w:tc>
        <w:tc>
          <w:tcPr>
            <w:tcW w:w="1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EC3" w:rsidRPr="00ED6C26" w:rsidRDefault="003C6EC3" w:rsidP="00317D04">
            <w:pPr>
              <w:jc w:val="right"/>
              <w:rPr>
                <w:rFonts w:cs="Arial"/>
                <w:szCs w:val="16"/>
              </w:rPr>
            </w:pPr>
            <w:r w:rsidRPr="00ED6C26">
              <w:rPr>
                <w:rFonts w:cs="Arial"/>
                <w:szCs w:val="16"/>
              </w:rPr>
              <w:t>Kč / čtvrtletí</w:t>
            </w:r>
          </w:p>
        </w:tc>
      </w:tr>
    </w:tbl>
    <w:p w:rsidR="003C6EC3" w:rsidRPr="003C6EC3" w:rsidRDefault="003C6EC3" w:rsidP="003C6EC3">
      <w:pPr>
        <w:rPr>
          <w:sz w:val="8"/>
          <w:szCs w:val="8"/>
        </w:rPr>
      </w:pPr>
    </w:p>
    <w:p w:rsidR="003C6EC3" w:rsidRDefault="003C6EC3" w:rsidP="003C6EC3">
      <w:r w:rsidRPr="00ED6C26">
        <w:t xml:space="preserve">Pro uznání nároku na osvobození nesmí </w:t>
      </w:r>
      <w:r>
        <w:t xml:space="preserve">být </w:t>
      </w:r>
      <w:r w:rsidRPr="00ED6C26">
        <w:t>vypočítaná částka nižší než čistý čtvrtletní příjem domácnosti (odst. 2).</w:t>
      </w:r>
    </w:p>
    <w:p w:rsidR="007A283F" w:rsidRPr="003C6EC3" w:rsidRDefault="007A283F" w:rsidP="007A283F">
      <w:pPr>
        <w:jc w:val="both"/>
        <w:rPr>
          <w:sz w:val="8"/>
          <w:szCs w:val="8"/>
        </w:rPr>
      </w:pPr>
    </w:p>
    <w:p w:rsidR="007A283F" w:rsidRPr="003C6EC3" w:rsidRDefault="007A283F" w:rsidP="007A283F">
      <w:pPr>
        <w:jc w:val="both"/>
      </w:pPr>
      <w:r w:rsidRPr="005B6C2C">
        <w:t>Oznamuji, že dle § 8 odst. 2 zákona č. 348/2005 Sb., o rozhlasových a televizních poplatcích, v platném znění (dále jen „Zákon“), splňuji podmínky pro osvobození ze sociálních důvodů dle § 4 odst. 2 Zákona.</w:t>
      </w:r>
    </w:p>
    <w:p w:rsidR="006E77AB" w:rsidRPr="003C6EC3" w:rsidRDefault="006E77AB" w:rsidP="006E77AB">
      <w:pPr>
        <w:jc w:val="both"/>
        <w:rPr>
          <w:sz w:val="8"/>
          <w:szCs w:val="8"/>
        </w:rPr>
      </w:pPr>
    </w:p>
    <w:p w:rsidR="003C6EC3" w:rsidRDefault="005B6C2C" w:rsidP="003C6EC3">
      <w:pPr>
        <w:jc w:val="both"/>
      </w:pPr>
      <w:r w:rsidRPr="005B6C2C">
        <w:t>Beru na vědomí, že uvedením nepravdivých údajů, na základě kterých dojde k neoprávněnému osvobození od povinnosti platit rozhlasový poplatek, je Český rozhlas oprávněn vystavit přirážku dle § 9 Zákona.</w:t>
      </w:r>
    </w:p>
    <w:p w:rsidR="003C6EC3" w:rsidRPr="003C6EC3" w:rsidRDefault="003C6EC3" w:rsidP="003C6EC3">
      <w:pPr>
        <w:jc w:val="both"/>
        <w:rPr>
          <w:sz w:val="8"/>
          <w:szCs w:val="8"/>
        </w:rPr>
      </w:pPr>
    </w:p>
    <w:p w:rsidR="003C6EC3" w:rsidRDefault="003C6EC3" w:rsidP="003C6EC3">
      <w:pPr>
        <w:jc w:val="both"/>
      </w:pPr>
      <w:r>
        <w:t>Doporučujeme Vám kontaktovat Český rozhlas k ověření zaevidovaného osvobození. Budoucí reklamace bez doložení potvrzení o odeslání formuláře, např. podacím lístkem doporučeného psaní, nebudou akceptovány.</w:t>
      </w:r>
    </w:p>
    <w:p w:rsidR="003C6EC3" w:rsidRDefault="003C6EC3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FD0845" w:rsidRDefault="00FA059F" w:rsidP="00FD0845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B942E9" w:rsidRDefault="00B942E9" w:rsidP="00010969"/>
    <w:p w:rsidR="00FC7B8C" w:rsidRDefault="00FC7B8C" w:rsidP="00010969"/>
    <w:p w:rsidR="00010969" w:rsidRPr="00FD0845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1B136A" w:rsidRDefault="001B136A" w:rsidP="00010969"/>
    <w:p w:rsidR="00F1765F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>
        <w:t>Příjmení:</w:t>
      </w:r>
      <w:r w:rsidR="003C6EC3">
        <w:t xml:space="preserve"> </w:t>
      </w:r>
    </w:p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6E77AB" w:rsidRDefault="006E77AB" w:rsidP="00236DF0">
      <w:pPr>
        <w:jc w:val="right"/>
      </w:pPr>
    </w:p>
    <w:p w:rsidR="006B16AE" w:rsidRDefault="006B16AE" w:rsidP="006B16AE">
      <w:pPr>
        <w:pStyle w:val="Podnadpis"/>
      </w:pPr>
      <w:r>
        <w:lastRenderedPageBreak/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8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9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0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5B" w:rsidRDefault="007A5A5B" w:rsidP="00B25F23">
      <w:r>
        <w:separator/>
      </w:r>
    </w:p>
  </w:endnote>
  <w:endnote w:type="continuationSeparator" w:id="0">
    <w:p w:rsidR="007A5A5B" w:rsidRDefault="007A5A5B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5B" w:rsidRDefault="007A5A5B" w:rsidP="00B25F23">
      <w:r>
        <w:separator/>
      </w:r>
    </w:p>
  </w:footnote>
  <w:footnote w:type="continuationSeparator" w:id="0">
    <w:p w:rsidR="007A5A5B" w:rsidRDefault="007A5A5B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010969" w:rsidP="0064783D">
                          <w:pPr>
                            <w:pStyle w:val="DocumentSubtitleCzechRadio"/>
                          </w:pPr>
                          <w:r>
                            <w:t>Pro fyzické osoby platící rozhlasový poplatek</w:t>
                          </w:r>
                          <w:r w:rsidR="00A622B6">
                            <w:t xml:space="preserve"> </w:t>
                          </w:r>
                          <w:r>
                            <w:t>přímo na bankovní účet Českého rozhlasu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010969" w:rsidP="0064783D">
                    <w:pPr>
                      <w:pStyle w:val="DocumentSubtitleCzechRadio"/>
                    </w:pPr>
                    <w:r>
                      <w:t>Pro fyzické osoby platící rozhlasový poplatek</w:t>
                    </w:r>
                    <w:r w:rsidR="00A622B6">
                      <w:t xml:space="preserve"> </w:t>
                    </w:r>
                    <w:r>
                      <w:t>přímo na bankovní účet Českého rozhlasu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E84611">
                            <w:t>Osvobození fyzické osoby</w:t>
                          </w:r>
                          <w:r w:rsidR="00A622B6">
                            <w:t xml:space="preserve"> </w:t>
                          </w:r>
                          <w:r w:rsidR="00E84611">
                            <w:t>(</w:t>
                          </w:r>
                          <w:r w:rsidR="00010969">
                            <w:t>domácnosti</w:t>
                          </w:r>
                          <w:r w:rsidR="00E84611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E84611">
                      <w:t>Osvobození fyzické osoby</w:t>
                    </w:r>
                    <w:r w:rsidR="00A622B6">
                      <w:t xml:space="preserve"> </w:t>
                    </w:r>
                    <w:r w:rsidR="00E84611">
                      <w:t>(</w:t>
                    </w:r>
                    <w:r w:rsidR="00010969">
                      <w:t>domácnosti</w:t>
                    </w:r>
                    <w:r w:rsidR="00E84611"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92140B1"/>
    <w:multiLevelType w:val="hybridMultilevel"/>
    <w:tmpl w:val="65225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62CCDE">
      <w:start w:val="1"/>
      <w:numFmt w:val="bullet"/>
      <w:lvlText w:val="-"/>
      <w:lvlJc w:val="left"/>
      <w:pPr>
        <w:ind w:left="0" w:firstLine="720"/>
      </w:pPr>
      <w:rPr>
        <w:rFonts w:ascii="Arial" w:eastAsia="Times New Roman" w:hAnsi="Arial" w:hint="default"/>
      </w:rPr>
    </w:lvl>
    <w:lvl w:ilvl="2" w:tplc="9662CCDE">
      <w:start w:val="1"/>
      <w:numFmt w:val="bullet"/>
      <w:lvlText w:val="-"/>
      <w:lvlJc w:val="left"/>
      <w:pPr>
        <w:ind w:left="2160" w:hanging="18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84C87"/>
    <w:multiLevelType w:val="multilevel"/>
    <w:tmpl w:val="023C2DE0"/>
    <w:numStyleLink w:val="Headings-Numbered"/>
  </w:abstractNum>
  <w:abstractNum w:abstractNumId="1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632CC"/>
    <w:multiLevelType w:val="multilevel"/>
    <w:tmpl w:val="4246CAA8"/>
    <w:numStyleLink w:val="Captions-Numbering"/>
  </w:abstractNum>
  <w:abstractNum w:abstractNumId="21" w15:restartNumberingAfterBreak="0">
    <w:nsid w:val="293A3FE2"/>
    <w:multiLevelType w:val="multilevel"/>
    <w:tmpl w:val="D22C57FC"/>
    <w:numStyleLink w:val="TextNumbering"/>
  </w:abstractNum>
  <w:abstractNum w:abstractNumId="22" w15:restartNumberingAfterBreak="0">
    <w:nsid w:val="2DD62198"/>
    <w:multiLevelType w:val="multilevel"/>
    <w:tmpl w:val="D22C57FC"/>
    <w:numStyleLink w:val="TextNumbering"/>
  </w:abstractNum>
  <w:abstractNum w:abstractNumId="23" w15:restartNumberingAfterBreak="0">
    <w:nsid w:val="2EB5063F"/>
    <w:multiLevelType w:val="multilevel"/>
    <w:tmpl w:val="D22C57FC"/>
    <w:numStyleLink w:val="TextNumbering"/>
  </w:abstractNum>
  <w:abstractNum w:abstractNumId="24" w15:restartNumberingAfterBreak="0">
    <w:nsid w:val="2F1445ED"/>
    <w:multiLevelType w:val="multilevel"/>
    <w:tmpl w:val="D22C57FC"/>
    <w:numStyleLink w:val="TextNumbering"/>
  </w:abstractNum>
  <w:abstractNum w:abstractNumId="25" w15:restartNumberingAfterBreak="0">
    <w:nsid w:val="38A1480A"/>
    <w:multiLevelType w:val="multilevel"/>
    <w:tmpl w:val="D22C57FC"/>
    <w:numStyleLink w:val="TextNumbering"/>
  </w:abstractNum>
  <w:abstractNum w:abstractNumId="2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7" w15:restartNumberingAfterBreak="0">
    <w:nsid w:val="43F30520"/>
    <w:multiLevelType w:val="multilevel"/>
    <w:tmpl w:val="4246CAA8"/>
    <w:numStyleLink w:val="Captions-Numbering"/>
  </w:abstractNum>
  <w:abstractNum w:abstractNumId="28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8B75231"/>
    <w:multiLevelType w:val="multilevel"/>
    <w:tmpl w:val="B414D002"/>
    <w:numStyleLink w:val="Headings"/>
  </w:abstractNum>
  <w:abstractNum w:abstractNumId="3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2" w15:restartNumberingAfterBreak="0">
    <w:nsid w:val="5E436E0B"/>
    <w:multiLevelType w:val="multilevel"/>
    <w:tmpl w:val="D22C57FC"/>
    <w:numStyleLink w:val="TextNumbering"/>
  </w:abstractNum>
  <w:abstractNum w:abstractNumId="33" w15:restartNumberingAfterBreak="0">
    <w:nsid w:val="6342271A"/>
    <w:multiLevelType w:val="multilevel"/>
    <w:tmpl w:val="D22C57FC"/>
    <w:numStyleLink w:val="TextNumbering"/>
  </w:abstractNum>
  <w:abstractNum w:abstractNumId="34" w15:restartNumberingAfterBreak="0">
    <w:nsid w:val="691E77A0"/>
    <w:multiLevelType w:val="multilevel"/>
    <w:tmpl w:val="D22C57FC"/>
    <w:numStyleLink w:val="TextNumbering"/>
  </w:abstractNum>
  <w:abstractNum w:abstractNumId="35" w15:restartNumberingAfterBreak="0">
    <w:nsid w:val="6AD37002"/>
    <w:multiLevelType w:val="multilevel"/>
    <w:tmpl w:val="D22C57FC"/>
    <w:numStyleLink w:val="TextNumbering"/>
  </w:abstractNum>
  <w:abstractNum w:abstractNumId="36" w15:restartNumberingAfterBreak="0">
    <w:nsid w:val="6BE45281"/>
    <w:multiLevelType w:val="multilevel"/>
    <w:tmpl w:val="D22C57FC"/>
    <w:numStyleLink w:val="TextNumbering"/>
  </w:abstractNum>
  <w:abstractNum w:abstractNumId="3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8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18220B"/>
    <w:multiLevelType w:val="multilevel"/>
    <w:tmpl w:val="D22C57FC"/>
    <w:numStyleLink w:val="TextNumbering"/>
  </w:abstractNum>
  <w:abstractNum w:abstractNumId="40" w15:restartNumberingAfterBreak="0">
    <w:nsid w:val="7CE824D4"/>
    <w:multiLevelType w:val="multilevel"/>
    <w:tmpl w:val="4246CAA8"/>
    <w:numStyleLink w:val="Captions-Numbering"/>
  </w:abstractNum>
  <w:abstractNum w:abstractNumId="41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6"/>
  </w:num>
  <w:num w:numId="17">
    <w:abstractNumId w:val="39"/>
  </w:num>
  <w:num w:numId="18">
    <w:abstractNumId w:val="35"/>
  </w:num>
  <w:num w:numId="19">
    <w:abstractNumId w:val="24"/>
  </w:num>
  <w:num w:numId="20">
    <w:abstractNumId w:val="34"/>
  </w:num>
  <w:num w:numId="21">
    <w:abstractNumId w:val="32"/>
  </w:num>
  <w:num w:numId="22">
    <w:abstractNumId w:val="25"/>
  </w:num>
  <w:num w:numId="23">
    <w:abstractNumId w:val="10"/>
  </w:num>
  <w:num w:numId="24">
    <w:abstractNumId w:val="23"/>
  </w:num>
  <w:num w:numId="25">
    <w:abstractNumId w:val="41"/>
  </w:num>
  <w:num w:numId="26">
    <w:abstractNumId w:val="22"/>
  </w:num>
  <w:num w:numId="27">
    <w:abstractNumId w:val="21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5"/>
  </w:num>
  <w:num w:numId="34">
    <w:abstractNumId w:val="37"/>
  </w:num>
  <w:num w:numId="35">
    <w:abstractNumId w:val="27"/>
  </w:num>
  <w:num w:numId="36">
    <w:abstractNumId w:val="40"/>
  </w:num>
  <w:num w:numId="37">
    <w:abstractNumId w:val="31"/>
  </w:num>
  <w:num w:numId="38">
    <w:abstractNumId w:val="13"/>
  </w:num>
  <w:num w:numId="39">
    <w:abstractNumId w:val="13"/>
  </w:num>
  <w:num w:numId="40">
    <w:abstractNumId w:val="11"/>
  </w:num>
  <w:num w:numId="41">
    <w:abstractNumId w:val="30"/>
  </w:num>
  <w:num w:numId="42">
    <w:abstractNumId w:val="20"/>
  </w:num>
  <w:num w:numId="43">
    <w:abstractNumId w:val="38"/>
  </w:num>
  <w:num w:numId="44">
    <w:abstractNumId w:val="12"/>
  </w:num>
  <w:num w:numId="45">
    <w:abstractNumId w:val="29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7AA8"/>
    <w:rsid w:val="000651AB"/>
    <w:rsid w:val="000653D1"/>
    <w:rsid w:val="00066D16"/>
    <w:rsid w:val="00087478"/>
    <w:rsid w:val="0009026B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2684"/>
    <w:rsid w:val="001557B5"/>
    <w:rsid w:val="00166126"/>
    <w:rsid w:val="00170F5F"/>
    <w:rsid w:val="001752CB"/>
    <w:rsid w:val="0019084E"/>
    <w:rsid w:val="001A0C86"/>
    <w:rsid w:val="001A77C7"/>
    <w:rsid w:val="001B136A"/>
    <w:rsid w:val="001C2B09"/>
    <w:rsid w:val="001C2C10"/>
    <w:rsid w:val="001D36B0"/>
    <w:rsid w:val="001E0A94"/>
    <w:rsid w:val="001F15D7"/>
    <w:rsid w:val="001F475A"/>
    <w:rsid w:val="002015E7"/>
    <w:rsid w:val="00202C70"/>
    <w:rsid w:val="00204CBF"/>
    <w:rsid w:val="00236DF0"/>
    <w:rsid w:val="002478DA"/>
    <w:rsid w:val="002748B7"/>
    <w:rsid w:val="002879BF"/>
    <w:rsid w:val="00295A22"/>
    <w:rsid w:val="00297EB4"/>
    <w:rsid w:val="002A4CCF"/>
    <w:rsid w:val="002B755F"/>
    <w:rsid w:val="002C6C32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60FE"/>
    <w:rsid w:val="00396EC9"/>
    <w:rsid w:val="003C0573"/>
    <w:rsid w:val="003C5F49"/>
    <w:rsid w:val="003C6EC3"/>
    <w:rsid w:val="003F0A33"/>
    <w:rsid w:val="003F130C"/>
    <w:rsid w:val="004004EC"/>
    <w:rsid w:val="00420BB5"/>
    <w:rsid w:val="00421F3D"/>
    <w:rsid w:val="00427653"/>
    <w:rsid w:val="004351F1"/>
    <w:rsid w:val="004374A1"/>
    <w:rsid w:val="0045245F"/>
    <w:rsid w:val="00452B29"/>
    <w:rsid w:val="00465783"/>
    <w:rsid w:val="00466190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513E43"/>
    <w:rsid w:val="00521563"/>
    <w:rsid w:val="005249FC"/>
    <w:rsid w:val="00531AB5"/>
    <w:rsid w:val="00533961"/>
    <w:rsid w:val="00536D7E"/>
    <w:rsid w:val="00562EEB"/>
    <w:rsid w:val="0056586F"/>
    <w:rsid w:val="00582CA1"/>
    <w:rsid w:val="005A384C"/>
    <w:rsid w:val="005A7C11"/>
    <w:rsid w:val="005B12EC"/>
    <w:rsid w:val="005B23EF"/>
    <w:rsid w:val="005B556C"/>
    <w:rsid w:val="005B6C2C"/>
    <w:rsid w:val="005C7732"/>
    <w:rsid w:val="005D59C5"/>
    <w:rsid w:val="005E5533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E77AB"/>
    <w:rsid w:val="006F2373"/>
    <w:rsid w:val="006F2664"/>
    <w:rsid w:val="006F3D05"/>
    <w:rsid w:val="00704F7D"/>
    <w:rsid w:val="007236C0"/>
    <w:rsid w:val="00727BE2"/>
    <w:rsid w:val="007305AC"/>
    <w:rsid w:val="007445B7"/>
    <w:rsid w:val="007634DE"/>
    <w:rsid w:val="0076690F"/>
    <w:rsid w:val="00777305"/>
    <w:rsid w:val="007805BD"/>
    <w:rsid w:val="00787D5C"/>
    <w:rsid w:val="007905DD"/>
    <w:rsid w:val="007A283F"/>
    <w:rsid w:val="007A5A5B"/>
    <w:rsid w:val="007A6939"/>
    <w:rsid w:val="007B230F"/>
    <w:rsid w:val="007C5A0C"/>
    <w:rsid w:val="007D5CDF"/>
    <w:rsid w:val="007D65C7"/>
    <w:rsid w:val="007D7AEB"/>
    <w:rsid w:val="007F7A88"/>
    <w:rsid w:val="0080004F"/>
    <w:rsid w:val="00812173"/>
    <w:rsid w:val="008144DB"/>
    <w:rsid w:val="00835CAF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B3025"/>
    <w:rsid w:val="008B7902"/>
    <w:rsid w:val="008C1650"/>
    <w:rsid w:val="008C40CF"/>
    <w:rsid w:val="008C6FEE"/>
    <w:rsid w:val="008D14F1"/>
    <w:rsid w:val="008D23A4"/>
    <w:rsid w:val="008D2658"/>
    <w:rsid w:val="008E7FC3"/>
    <w:rsid w:val="008F1852"/>
    <w:rsid w:val="008F36D1"/>
    <w:rsid w:val="008F3973"/>
    <w:rsid w:val="008F7E57"/>
    <w:rsid w:val="00900A72"/>
    <w:rsid w:val="00911493"/>
    <w:rsid w:val="00914C3D"/>
    <w:rsid w:val="00922C57"/>
    <w:rsid w:val="00937460"/>
    <w:rsid w:val="009403C9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D5F15"/>
    <w:rsid w:val="009E0266"/>
    <w:rsid w:val="009F4674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53EE0"/>
    <w:rsid w:val="00A622B6"/>
    <w:rsid w:val="00A741A4"/>
    <w:rsid w:val="00A74492"/>
    <w:rsid w:val="00A82239"/>
    <w:rsid w:val="00A833FD"/>
    <w:rsid w:val="00A87E77"/>
    <w:rsid w:val="00A93C16"/>
    <w:rsid w:val="00AB345B"/>
    <w:rsid w:val="00AB5003"/>
    <w:rsid w:val="00AB7B06"/>
    <w:rsid w:val="00AD374C"/>
    <w:rsid w:val="00AD65C1"/>
    <w:rsid w:val="00AE00C0"/>
    <w:rsid w:val="00AE0987"/>
    <w:rsid w:val="00AE5C7C"/>
    <w:rsid w:val="00AF6E44"/>
    <w:rsid w:val="00B00B4C"/>
    <w:rsid w:val="00B13943"/>
    <w:rsid w:val="00B1525A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1450"/>
    <w:rsid w:val="00BF625D"/>
    <w:rsid w:val="00BF7928"/>
    <w:rsid w:val="00C04263"/>
    <w:rsid w:val="00C0494E"/>
    <w:rsid w:val="00C04F78"/>
    <w:rsid w:val="00C11D8C"/>
    <w:rsid w:val="00C47922"/>
    <w:rsid w:val="00C50D5A"/>
    <w:rsid w:val="00C61062"/>
    <w:rsid w:val="00C62B0D"/>
    <w:rsid w:val="00C62C13"/>
    <w:rsid w:val="00C670F0"/>
    <w:rsid w:val="00C73AFB"/>
    <w:rsid w:val="00C74B6B"/>
    <w:rsid w:val="00C7676F"/>
    <w:rsid w:val="00C83775"/>
    <w:rsid w:val="00C87878"/>
    <w:rsid w:val="00C93817"/>
    <w:rsid w:val="00C94987"/>
    <w:rsid w:val="00CA305D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2512A"/>
    <w:rsid w:val="00D43A77"/>
    <w:rsid w:val="00D50ADA"/>
    <w:rsid w:val="00D569E2"/>
    <w:rsid w:val="00D639F5"/>
    <w:rsid w:val="00D647B6"/>
    <w:rsid w:val="00D64CE5"/>
    <w:rsid w:val="00D6512D"/>
    <w:rsid w:val="00D66C2E"/>
    <w:rsid w:val="00D71B1B"/>
    <w:rsid w:val="00D77D03"/>
    <w:rsid w:val="00DA3832"/>
    <w:rsid w:val="00DB2CC5"/>
    <w:rsid w:val="00DB2F19"/>
    <w:rsid w:val="00DB5E8D"/>
    <w:rsid w:val="00DE000D"/>
    <w:rsid w:val="00DE3C04"/>
    <w:rsid w:val="00E04C6D"/>
    <w:rsid w:val="00E05DDC"/>
    <w:rsid w:val="00E152DE"/>
    <w:rsid w:val="00E1539D"/>
    <w:rsid w:val="00E24FAA"/>
    <w:rsid w:val="00E40B22"/>
    <w:rsid w:val="00E41313"/>
    <w:rsid w:val="00E813CD"/>
    <w:rsid w:val="00E84611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A059F"/>
    <w:rsid w:val="00FB3D9F"/>
    <w:rsid w:val="00FC7B8C"/>
    <w:rsid w:val="00FD0845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4:docId w14:val="16AB6AF2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ozhla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zhlas.cz/osobni-uda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rozhlas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A16F-A471-45BB-9228-CA6B7D6E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11</cp:revision>
  <cp:lastPrinted>2026-05-18T09:16:00Z</cp:lastPrinted>
  <dcterms:created xsi:type="dcterms:W3CDTF">2023-06-23T08:29:00Z</dcterms:created>
  <dcterms:modified xsi:type="dcterms:W3CDTF">2026-05-18T09:17:00Z</dcterms:modified>
</cp:coreProperties>
</file>